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Class Analysis of the Crisis of Power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2021-07-22</w:t>
      </w:r>
    </w:p>
    <w:p>
      <w:pPr/>
    </w:p>
    <w:p>
      <w:r/>
      <w:r>
        <w:br/>
      </w:r>
      <w:r>
        <w:br/>
      </w:r>
      <w:r>
        <w:br/>
      </w:r>
      <w:r/>
    </w:p>
    <w:p>
      <w:r>
        <w:t>As Marxists we must not regard the crisis of power solely from the formal angle; we must look at it primarily from the class angle. The crisis of power is a tense and open struggle of classes for power.</w:t>
      </w:r>
    </w:p>
    <w:p>
      <w:r/>
    </w:p>
    <w:p>
      <w:r>
        <w:rPr>
          <w:b/>
        </w:rPr>
        <w:t>Joseph Stalin, “Speeches Delivered at an Emergency Conference of the Petrograd Organization of the R.S.D.L.P. (Bolsheviks)”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class-analysis-of-the-crisis-of-pow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