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Internationalism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2021-10-24</w:t>
      </w:r>
    </w:p>
    <w:p>
      <w:pPr/>
    </w:p>
    <w:p>
      <w:r/>
      <w:r>
        <w:br/>
      </w:r>
      <w:r>
        <w:br/>
      </w:r>
      <w:r>
        <w:br/>
      </w:r>
      <w:r/>
    </w:p>
    <w:p>
      <w:r>
        <w:t>When communist artisans associate with one another, theory, propaganda, etc., is their first end. But at the same time, as a result of this association, they acquire a new need — the need for society — and what appears as a means becomes an end. … the brotherhood of man is no mere phrase with them, but a fact of life, and the nobility of man shines upon us from their work-hardened bodies.</w:t>
      </w:r>
    </w:p>
    <w:p>
      <w:r/>
    </w:p>
    <w:p>
      <w:r>
        <w:rPr>
          <w:b/>
        </w:rPr>
        <w:t>Karl Marx, “Human Needs &amp; the division of Labour”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inter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