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and Engels on the Material Reproduction of Man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2024-05-12</w:t>
      </w:r>
    </w:p>
    <w:p>
      <w:pPr/>
    </w:p>
    <w:p/>
    <w:p>
      <w:r>
        <w:t>"Men begin to distinguish themselves from animals as soon as they begin to produce their means of subsistence, a step which is conditioned by their physical organisation. By producing their means of subsistence men are indirectly producing their actual material life."</w:t>
      </w:r>
    </w:p>
    <w:p>
      <w:r>
        <w:rPr>
          <w:b/>
        </w:rPr>
        <w:t>Karl Marx and Friedrich Engels, The German Ideology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marx-and-engels-on-the-material-reproduction-of-m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