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Workers' Control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6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6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2021-06-03</w:t>
      </w:r>
    </w:p>
    <w:p>
      <w:pPr/>
    </w:p>
    <w:p>
      <w:r/>
      <w:r>
        <w:br/>
      </w:r>
      <w:r>
        <w:br/>
      </w:r>
      <w:r>
        <w:br/>
      </w:r>
      <w:r/>
    </w:p>
    <w:p>
      <w:r>
        <w:t>The important thing will not be even the confiscation of the capitalists’ property, but country-wide, all-embracing workers’ control over the capitalists and their possible supporters.</w:t>
      </w:r>
      <w:r/>
    </w:p>
    <w:p>
      <w:r>
        <w:rPr>
          <w:i/>
        </w:rPr>
        <w:t>Vladimir Lenin, Can the Bolsheviks Retain State Power?</w:t>
      </w:r>
    </w:p>
    <w:p>
      <w:r>
        <w:t xml:space="preserve">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workers-contr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