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Necessity of Strikes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2021-08-05</w:t>
      </w:r>
    </w:p>
    <w:p>
      <w:pPr/>
    </w:p>
    <w:p>
      <w:r/>
      <w:r>
        <w:br/>
      </w:r>
      <w:r>
        <w:br/>
      </w:r>
      <w:r>
        <w:br/>
      </w:r>
      <w:r/>
    </w:p>
    <w:p>
      <w:r>
        <w:t>It often happens that a factory owner does his best to deceive the workers, to pose as a benefactor, and conceal his exploitation of the workers by some petty sops or lying promises. A strike always demolishes this deception at one blow by showing the workers that their “benefactor” is a wolf in sheep’s clothing.</w:t>
      </w:r>
    </w:p>
    <w:p>
      <w:r/>
    </w:p>
    <w:p>
      <w:r>
        <w:rPr>
          <w:b/>
        </w:rPr>
        <w:t>Vladimir Lenin, “On Strikes”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necessity-of-strik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