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Essence of the Communist Party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2024-05-04</w:t>
      </w:r>
    </w:p>
    <w:p>
      <w:pPr/>
    </w:p>
    <w:p/>
    <w:p>
      <w:r>
        <w:t>“Our Party is an association of class-conscious, advanced fighters for the emancipation of the working class. Such an association cannot and must not be indifferent to lack of class-consciousness, ignorance or obscurantism in the shape of religious beliefs.”</w:t>
      </w:r>
      <w:r>
        <w:br/>
      </w:r>
      <w:r>
        <w:br/>
      </w:r>
      <w:r>
        <w:rPr>
          <w:b/>
        </w:rPr>
        <w:t>Vladimir Lenin, Socialism and Religion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essence-of-the-communist-pa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