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Basis Which Reactionary Classes Work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2024-10-17</w:t>
      </w:r>
    </w:p>
    <w:p>
      <w:pPr/>
    </w:p>
    <w:p/>
    <w:p>
      <w:r>
        <w:t>“It is under the guise of national culture—Great-Russian, Polish, Jewish, Ukrainian, and so forth—that the Black-Hundreds and the clericals, and also the bourgeoisie of all nations, are doing their dirty and reactionary work.”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basis-which-reactionary-classes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