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Reformism</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2021-05-26</w:t>
      </w:r>
    </w:p>
    <w:p>
      <w:pPr/>
    </w:p>
    <w:p>
      <w:r/>
      <w:r>
        <w:br/>
      </w:r>
      <w:r>
        <w:br/>
      </w:r>
      <w:r>
        <w:br/>
      </w:r>
      <w:r/>
    </w:p>
    <w:p>
      <w:r/>
    </w:p>
    <w:p>
      <w:pPr>
        <w:pStyle w:val="IntenseQuote"/>
      </w:pPr>
      <w:r>
        <w:br/>
      </w:r>
    </w:p>
    <w:p>
      <w:r>
        <w:t>Champions of reforms and improvements will always be fooled by the defenders of the old order until they realise that every old institution, how ever barbarous and rotten it may appear to be, is kept going by the forces of certain ruling classes.</w:t>
      </w:r>
    </w:p>
    <w:p>
      <w:r>
        <w:t xml:space="preserve">Lenin, </w:t>
      </w:r>
      <w:r>
        <w:rPr>
          <w:b/>
        </w:rPr>
        <w:t>The Three Sources and Three Component Parts of Marxism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reformis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