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Opportunists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2023-01-03</w:t>
      </w:r>
    </w:p>
    <w:p>
      <w:pPr/>
    </w:p>
    <w:p/>
    <w:p>
      <w:r>
        <w:t>"In reality, the opportunists’ formal membership in workers’ parties by no means disproves their objectively being a political detachment of the bourgeoisie, conductors of its influence, and its agents in the labour movement."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opport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