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the Alienation of the Worker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2024-06-18</w:t>
      </w:r>
    </w:p>
    <w:p>
      <w:pPr/>
    </w:p>
    <w:p/>
    <w:p>
      <w:r>
        <w:t>"The external character of labor for the worker appears in the fact that it is not his own, but someone else’s, that it does not belong to him, that in it he belongs, not to himself, but to another."</w:t>
      </w:r>
    </w:p>
    <w:p>
      <w:r>
        <w:rPr>
          <w:b/>
        </w:rPr>
        <w:t>Karl Marx, Philosophical and Economic Manuscripts of 1844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