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Konstantinov on Pre-Marxian Materialism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2022-09-07</w:t>
      </w:r>
    </w:p>
    <w:p>
      <w:pPr/>
    </w:p>
    <w:p>
      <w:r/>
      <w:r>
        <w:br/>
      </w:r>
      <w:r>
        <w:br/>
      </w:r>
      <w:r/>
    </w:p>
    <w:p>
      <w:r>
        <w:t>Pre-Marxian materialism, as we see, suffered from inconsistency: it was materialism from below, in explaining nature, and idealism from above, in explaining the history of society. When it came to explaining the history of society, the old, pre-Marxian materialism was unfaithful to itself, and remained in the position of idealism.</w:t>
      </w:r>
      <w:r>
        <w:br/>
      </w:r>
      <w:r>
        <w:br/>
      </w:r>
      <w:r/>
    </w:p>
    <w:p>
      <w:r>
        <w:rPr>
          <w:b/>
        </w:rPr>
        <w:t>Fyodor Konstantinov, “Historical Materialism”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konstantinov-on-pre-marxian-material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