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Bourgeois Ideology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2022-09-03</w:t>
      </w:r>
    </w:p>
    <w:p>
      <w:pPr/>
    </w:p>
    <w:p>
      <w:r/>
      <w:r>
        <w:br/>
      </w:r>
      <w:r>
        <w:br/>
      </w:r>
      <w:r>
        <w:br/>
      </w:r>
      <w:r/>
    </w:p>
    <w:p>
      <w:r>
        <w:t>The bourgeoisie, its ideologists and servants consider normal and logical only capitalism with its private ownership of the means of production, the anarchy of production, crises, unemployment, exploitation of workers, national oppression, imperialist wars.</w:t>
      </w:r>
    </w:p>
    <w:p>
      <w:r/>
    </w:p>
    <w:p>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konstantinov-on-bourgeois-ide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