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Konstantinov on Aggravation of Contradictions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2022-09-29</w:t>
      </w:r>
    </w:p>
    <w:p>
      <w:pPr/>
    </w:p>
    <w:p>
      <w:r/>
      <w:r>
        <w:br/>
      </w:r>
      <w:r>
        <w:br/>
      </w:r>
      <w:r>
        <w:br/>
      </w:r>
      <w:r/>
    </w:p>
    <w:p>
      <w:r>
        <w:t>Everywhere where the contradictions between the proletariat and the bourgeoisie are aggravated, the influence of the ideas of Marxism-Leninism and the influence of Marxist parties are growing among the working class.</w:t>
      </w:r>
    </w:p>
    <w:p>
      <w:r/>
    </w:p>
    <w:p>
      <w:r>
        <w:rPr>
          <w:b/>
        </w:rPr>
        <w:t>Fyodor Konstantinov, “Historical Materialism”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konstantinov-on-aggravation-of-contradic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