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the Trend towards a Socialist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2024-03-16</w:t>
      </w:r>
    </w:p>
    <w:p>
      <w:pPr/>
    </w:p>
    <w:p/>
    <w:p>
      <w:r>
        <w:t>“Hence also the deep wrath of the whole working-class, from Glasgow to London, against the rich, by whom they are systematically plundered and mercilessly left to their fate, a wrath which before too long a time goes by, a time almost within the power of man to predict, must break out into a revolution in comparison with which the French Revolution, and the year 1794, will prove to have been child's play.”</w:t>
      </w:r>
    </w:p>
    <w:p>
      <w:r>
        <w:rPr>
          <w:b/>
        </w:rPr>
        <w:t>Friedrich Engels,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the-trend-towards-a-socialist-r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