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Dzerzhinsky on the Struggle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596646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596646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p>
      <w:pPr/>
      <w:r>
        <w:t>2020-08-01</w:t>
      </w:r>
    </w:p>
    <w:p>
      <w:pPr/>
    </w:p>
    <w:p>
      <w:r/>
      <w:r>
        <w:br/>
      </w:r>
      <w:r>
        <w:br/>
      </w:r>
      <w:r/>
    </w:p>
    <w:p>
      <w:r>
        <w:rPr>
          <w:i/>
        </w:rPr>
        <w:t>The society in which we live today is divided into different classes with opposed interests. The result is that</w:t>
      </w:r>
      <w:r>
        <w:br/>
      </w:r>
      <w:r>
        <w:br/>
      </w:r>
      <w:r>
        <w:rPr>
          <w:i/>
        </w:rPr>
        <w:t>happiness for one signifies misfortune for another. Take, for example, the famine which follows crop failure.</w:t>
      </w:r>
      <w:r/>
    </w:p>
    <w:p>
      <w:r>
        <w:rPr>
          <w:i/>
        </w:rPr>
        <w:t>For the masses of the people this is misfortune. But there are those who utilize this misfortune in order to stuff their pockets with money (grain merchants).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us.stage.politsturm.com/dzerzhinsky-on-the-struggl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